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EB234" w14:textId="740C3437" w:rsidR="001A7547" w:rsidRPr="00BC73E4" w:rsidRDefault="005905CC" w:rsidP="001A7547">
      <w:pPr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pict w14:anchorId="753F02F8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left:0;text-align:left;margin-left:0;margin-top:0;width:50pt;height:50pt;z-index:251658240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1A7547" w:rsidRPr="00BC73E4">
        <w:rPr>
          <w:rFonts w:ascii="Times New Roman" w:eastAsia="Calibri" w:hAnsi="Times New Roman" w:cs="Times New Roman"/>
          <w:bCs/>
          <w:kern w:val="0"/>
          <w14:ligatures w14:val="none"/>
        </w:rPr>
        <w:t>Annex 7</w:t>
      </w:r>
    </w:p>
    <w:p w14:paraId="1F475088" w14:textId="3CABC059" w:rsidR="001A7547" w:rsidRPr="00BC73E4" w:rsidRDefault="001A754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BC73E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to the Regulations on Acquiring the Status of </w:t>
      </w:r>
      <w:r w:rsidR="001352B9" w:rsidRPr="00BC73E4">
        <w:rPr>
          <w:rFonts w:ascii="Times New Roman" w:eastAsia="Calibri" w:hAnsi="Times New Roman" w:cs="Times New Roman"/>
          <w:bCs/>
          <w:kern w:val="0"/>
          <w14:ligatures w14:val="none"/>
        </w:rPr>
        <w:t>the</w:t>
      </w:r>
      <w:r w:rsidRPr="00BC73E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Commodity Exchange </w:t>
      </w:r>
      <w:r w:rsidR="00BC73E4" w:rsidRPr="00BC73E4">
        <w:rPr>
          <w:rFonts w:ascii="Times New Roman" w:eastAsia="Calibri" w:hAnsi="Times New Roman" w:cs="Times New Roman"/>
          <w:bCs/>
          <w:kern w:val="0"/>
          <w14:ligatures w14:val="none"/>
        </w:rPr>
        <w:t>Member</w:t>
      </w:r>
    </w:p>
    <w:p w14:paraId="0DE92A81" w14:textId="77777777" w:rsidR="001A7547" w:rsidRPr="00BC73E4" w:rsidRDefault="001A7547">
      <w:pPr>
        <w:spacing w:after="0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BC73E4">
        <w:rPr>
          <w:rFonts w:ascii="Times New Roman" w:eastAsia="Calibri" w:hAnsi="Times New Roman" w:cs="Times New Roman"/>
          <w:bCs/>
          <w:kern w:val="0"/>
          <w14:ligatures w14:val="none"/>
        </w:rPr>
        <w:t>Limited Liability Company "UKRAINIAN RESOURCE EXCHANGE"</w:t>
      </w:r>
    </w:p>
    <w:p w14:paraId="45105A13" w14:textId="77777777" w:rsidR="001A7547" w:rsidRPr="00BC73E4" w:rsidRDefault="001A7547" w:rsidP="008B5841">
      <w:pPr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F5C621F" w14:textId="77777777" w:rsidR="001A7547" w:rsidRPr="00BC73E4" w:rsidRDefault="001A754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C73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POWER OF ATTORNEY №__</w:t>
      </w:r>
    </w:p>
    <w:p w14:paraId="362D0339" w14:textId="014DF57E" w:rsidR="001A7547" w:rsidRPr="00BC73E4" w:rsidRDefault="001A754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</w:t>
      </w: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____________ 202_ </w:t>
      </w:r>
    </w:p>
    <w:p w14:paraId="77E171E1" w14:textId="77777777" w:rsidR="001A7547" w:rsidRPr="00BC73E4" w:rsidRDefault="001A7547" w:rsidP="008B5841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DAAC37" w14:textId="77777777" w:rsidR="001A7547" w:rsidRPr="00BC73E4" w:rsidRDefault="001A754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460D8DFA" w14:textId="77777777" w:rsidR="001A7547" w:rsidRPr="00BC73E4" w:rsidRDefault="001A7547">
      <w:pPr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(full name of the business entity)</w:t>
      </w:r>
    </w:p>
    <w:p w14:paraId="110C7B0D" w14:textId="77777777" w:rsidR="001A7547" w:rsidRPr="00BC73E4" w:rsidRDefault="001A754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Registration number _____________________ (hereinafter referred to as the Principal), represented by </w:t>
      </w:r>
    </w:p>
    <w:p w14:paraId="7CC2BEE2" w14:textId="26ED5A0A" w:rsidR="001A7547" w:rsidRPr="00BC73E4" w:rsidRDefault="001A754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_____________________________________________________________________, </w:t>
      </w:r>
      <w:r w:rsid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acting under </w:t>
      </w: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_______________________________, hereby authorizes </w:t>
      </w:r>
    </w:p>
    <w:p w14:paraId="5621DC5C" w14:textId="77777777" w:rsidR="001A7547" w:rsidRPr="00BC73E4" w:rsidRDefault="001A754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</w:t>
      </w:r>
    </w:p>
    <w:p w14:paraId="6C0FA3CA" w14:textId="723B7056" w:rsidR="001A7547" w:rsidRPr="00BC73E4" w:rsidRDefault="001A7547">
      <w:pPr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(broker</w:t>
      </w:r>
      <w:r w:rsid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’s full name</w:t>
      </w:r>
      <w:r w:rsidRP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2F0B6B94" w14:textId="77777777" w:rsidR="001A7547" w:rsidRPr="00BC73E4" w:rsidRDefault="001A7547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C73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________________________________________________________________________________________</w:t>
      </w:r>
    </w:p>
    <w:p w14:paraId="642AD585" w14:textId="5BEB95C5" w:rsidR="001A7547" w:rsidRPr="00BC73E4" w:rsidRDefault="001A7547">
      <w:pPr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(broker's passport or ID card</w:t>
      </w:r>
      <w:r w:rsid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details</w:t>
      </w:r>
      <w:r w:rsidRP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; broker's tax </w:t>
      </w:r>
      <w:r w:rsid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registration </w:t>
      </w:r>
      <w:r w:rsidRP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number)</w:t>
      </w:r>
    </w:p>
    <w:p w14:paraId="5A4E3777" w14:textId="681ACFB7" w:rsidR="001A7547" w:rsidRPr="00BC73E4" w:rsidRDefault="001A7547">
      <w:pPr>
        <w:widowControl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(hereinafter referred to as the Broker) to represent the Principal's interests as a Member of the commodity exchange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i.e.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Limited Liability Company "UKRAINIAN RESOURCE EXCHANGE", EDRPOU 44585784 (hereinafter referred to as the Exchange) at the exchange trad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(auctions), </w:t>
      </w:r>
      <w:proofErr w:type="spellStart"/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wheretofore</w:t>
      </w:r>
      <w:proofErr w:type="spellEnd"/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Broker is 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hereby 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granted the following powers:</w:t>
      </w:r>
    </w:p>
    <w:p w14:paraId="05B2BC81" w14:textId="77777777" w:rsidR="001A7547" w:rsidRPr="00BC73E4" w:rsidRDefault="001A7547">
      <w:pPr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exchange trades (auctions) organized and conducted by the Exchange;</w:t>
      </w:r>
    </w:p>
    <w:p w14:paraId="34F66666" w14:textId="1D10C7B2" w:rsidR="001A7547" w:rsidRPr="00BC73E4" w:rsidRDefault="001A7547">
      <w:pPr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submit applications for participation in</w:t>
      </w:r>
      <w:bookmarkStart w:id="0" w:name="_Hlk144454436"/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exchange trades</w:t>
      </w:r>
      <w:bookmarkEnd w:id="0"/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(auctions), applications for conducting exchange trades (auctions), applications for purchase/sale of exchange-traded commodities, perform 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other actions aimed at purchase/sale of exchange-traded commodities at exchange trades (auctions) on the Exchange, provide the Exchange with all 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required 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documents for participation in exchange trades (auctions) and documents related to 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performance 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exchange transactions;</w:t>
      </w:r>
    </w:p>
    <w:p w14:paraId="6BC3201C" w14:textId="65F84403" w:rsidR="001A7547" w:rsidRPr="00BC73E4" w:rsidRDefault="001A7547">
      <w:pPr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sign all documents 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required f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the conclusion and 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performance 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exchange 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transactions related t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the purchase and sale of exchange-traded commodities, as defined by the Exchange internal documents;</w:t>
      </w:r>
    </w:p>
    <w:p w14:paraId="37B3AFD5" w14:textId="171540A1" w:rsidR="001A7547" w:rsidRPr="00BC73E4" w:rsidRDefault="001A7547">
      <w:pPr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take all 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required 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actions to purchase and/or sell exchange-traded commodities on the Exchange and perform all other actions related to the 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implementation 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this Power of Attorney.</w:t>
      </w:r>
    </w:p>
    <w:p w14:paraId="036D5A52" w14:textId="33D09443" w:rsidR="001A7547" w:rsidRPr="00BC73E4" w:rsidRDefault="00BC73E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1A7547"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his power of attorney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issued without the power of substitution</w:t>
      </w:r>
      <w:r w:rsidR="001A7547"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52EAA66" w14:textId="3104FB95" w:rsidR="001A7547" w:rsidRPr="00BC73E4" w:rsidRDefault="001A754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power of attorney </w:t>
      </w:r>
      <w:r w:rsid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shall be</w:t>
      </w:r>
      <w:r w:rsidRPr="00BC7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valid until ___________ 202_. </w:t>
      </w:r>
    </w:p>
    <w:p w14:paraId="3A4BBDC8" w14:textId="77777777" w:rsidR="001A7547" w:rsidRPr="00BC73E4" w:rsidRDefault="001A7547" w:rsidP="008B584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BC7A60" w14:textId="7B35D254" w:rsidR="001A7547" w:rsidRPr="00BC73E4" w:rsidRDefault="00BC73E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hereby certify the </w:t>
      </w:r>
      <w:r w:rsidR="001A7547"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Broker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’s signature</w:t>
      </w:r>
      <w:r w:rsidR="001A7547" w:rsidRPr="00BC73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______________________________________________.</w:t>
      </w:r>
    </w:p>
    <w:p w14:paraId="07AF6AC1" w14:textId="69882B81" w:rsidR="001A7547" w:rsidRPr="00BC73E4" w:rsidRDefault="001A7547">
      <w:pPr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ab/>
      </w:r>
      <w:r w:rsidRP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ab/>
      </w:r>
      <w:r w:rsid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ab/>
      </w:r>
      <w:r w:rsid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ab/>
      </w:r>
      <w:r w:rsid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ab/>
      </w:r>
      <w:r w:rsidRP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(Broker's full name)</w:t>
      </w:r>
      <w:r w:rsidRP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ab/>
        <w:t xml:space="preserve">     (Broker's </w:t>
      </w:r>
      <w:r w:rsid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specimen </w:t>
      </w:r>
      <w:r w:rsidRPr="00BC73E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signature)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7"/>
      </w:tblGrid>
      <w:tr w:rsidR="001A7547" w:rsidRPr="00BC73E4" w14:paraId="1C20D792" w14:textId="77777777" w:rsidTr="00354888">
        <w:tc>
          <w:tcPr>
            <w:tcW w:w="3256" w:type="dxa"/>
            <w:tcBorders>
              <w:bottom w:val="single" w:sz="4" w:space="0" w:color="auto"/>
            </w:tcBorders>
          </w:tcPr>
          <w:p w14:paraId="6F9F123A" w14:textId="77777777" w:rsidR="001A7547" w:rsidRPr="00BC73E4" w:rsidRDefault="001A7547" w:rsidP="003548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44457072"/>
          </w:p>
          <w:p w14:paraId="448B2A0A" w14:textId="77777777" w:rsidR="001A7547" w:rsidRPr="00BC73E4" w:rsidRDefault="001A7547" w:rsidP="003548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D89BEC" w14:textId="77777777" w:rsidR="001A7547" w:rsidRPr="00BC73E4" w:rsidRDefault="001A7547" w:rsidP="003548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E281DA" w14:textId="77777777" w:rsidR="001A7547" w:rsidRPr="00BC73E4" w:rsidRDefault="001A7547" w:rsidP="003548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D9C6F3A" w14:textId="77777777" w:rsidR="001A7547" w:rsidRPr="00BC73E4" w:rsidRDefault="001A7547" w:rsidP="003548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4563AE41" w14:textId="77777777" w:rsidR="001A7547" w:rsidRPr="00BC73E4" w:rsidRDefault="001A7547" w:rsidP="003548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1"/>
      <w:tr w:rsidR="001A7547" w:rsidRPr="00BC73E4" w14:paraId="272AAD6D" w14:textId="77777777" w:rsidTr="00354888">
        <w:tc>
          <w:tcPr>
            <w:tcW w:w="3256" w:type="dxa"/>
            <w:tcBorders>
              <w:top w:val="single" w:sz="4" w:space="0" w:color="auto"/>
            </w:tcBorders>
          </w:tcPr>
          <w:p w14:paraId="32FABB5B" w14:textId="55B5ED96" w:rsidR="001A7547" w:rsidRPr="00BC73E4" w:rsidRDefault="001A7547" w:rsidP="005905C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C73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BC73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director’s </w:t>
            </w:r>
            <w:r w:rsidR="005905C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title</w:t>
            </w:r>
            <w:bookmarkStart w:id="2" w:name="_GoBack"/>
            <w:bookmarkEnd w:id="2"/>
            <w:r w:rsidRPr="00BC73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14:paraId="57F25831" w14:textId="77777777" w:rsidR="001A7547" w:rsidRPr="00BC73E4" w:rsidRDefault="001A7547" w:rsidP="0035488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72E2A3E" w14:textId="64B32F5C" w:rsidR="001A7547" w:rsidRPr="00BC73E4" w:rsidRDefault="001A754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C73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BC73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director’s </w:t>
            </w:r>
            <w:r w:rsidRPr="00BC73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signature)</w:t>
            </w:r>
          </w:p>
        </w:tc>
        <w:tc>
          <w:tcPr>
            <w:tcW w:w="284" w:type="dxa"/>
          </w:tcPr>
          <w:p w14:paraId="11174938" w14:textId="77777777" w:rsidR="001A7547" w:rsidRPr="00BC73E4" w:rsidRDefault="001A7547" w:rsidP="0035488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560A1C4" w14:textId="7B63FD35" w:rsidR="001A7547" w:rsidRPr="00BC73E4" w:rsidRDefault="001A754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C73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BC73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director’s full </w:t>
            </w:r>
            <w:r w:rsidRPr="00BC73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name)</w:t>
            </w:r>
          </w:p>
        </w:tc>
      </w:tr>
      <w:tr w:rsidR="001A7547" w:rsidRPr="00BC73E4" w14:paraId="469E0E55" w14:textId="77777777" w:rsidTr="00354888">
        <w:tc>
          <w:tcPr>
            <w:tcW w:w="3256" w:type="dxa"/>
          </w:tcPr>
          <w:p w14:paraId="2B4C048B" w14:textId="77777777" w:rsidR="001A7547" w:rsidRPr="00BC73E4" w:rsidRDefault="001A7547" w:rsidP="003548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570916" w14:textId="77777777" w:rsidR="001A7547" w:rsidRPr="00BC73E4" w:rsidRDefault="001A7547" w:rsidP="003548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045A80" w14:textId="77777777" w:rsidR="001A7547" w:rsidRPr="00BC73E4" w:rsidRDefault="001A7547" w:rsidP="003548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2082F2" w14:textId="28AB688A" w:rsidR="001A7547" w:rsidRPr="00BC73E4" w:rsidRDefault="00BC7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L.S.</w:t>
            </w:r>
            <w:r w:rsidR="001A7547" w:rsidRPr="00BC73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(if any)</w:t>
            </w:r>
          </w:p>
        </w:tc>
        <w:tc>
          <w:tcPr>
            <w:tcW w:w="284" w:type="dxa"/>
          </w:tcPr>
          <w:p w14:paraId="404C6D8F" w14:textId="77777777" w:rsidR="001A7547" w:rsidRPr="00BC73E4" w:rsidRDefault="001A7547" w:rsidP="003548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F13D34D" w14:textId="77777777" w:rsidR="001A7547" w:rsidRPr="00BC73E4" w:rsidRDefault="001A7547" w:rsidP="003548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D92EBC8" w14:textId="77777777" w:rsidR="005E7ECD" w:rsidRPr="00BC73E4" w:rsidRDefault="005E7ECD" w:rsidP="005905CC"/>
    <w:sectPr w:rsidR="005E7ECD" w:rsidRPr="00BC73E4" w:rsidSect="005905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2088E"/>
    <w:multiLevelType w:val="hybridMultilevel"/>
    <w:tmpl w:val="BE3EFD44"/>
    <w:lvl w:ilvl="0" w:tplc="ABD22016">
      <w:start w:val="1"/>
      <w:numFmt w:val="bullet"/>
      <w:lvlText w:val="-"/>
      <w:lvlJc w:val="left"/>
      <w:pPr>
        <w:ind w:left="115" w:hanging="836"/>
      </w:pPr>
      <w:rPr>
        <w:rFonts w:ascii="Calibri" w:eastAsia="Calibri" w:hAnsi="Calibri" w:hint="default"/>
        <w:sz w:val="24"/>
        <w:szCs w:val="24"/>
      </w:rPr>
    </w:lvl>
    <w:lvl w:ilvl="1" w:tplc="76E2425E">
      <w:start w:val="1"/>
      <w:numFmt w:val="bullet"/>
      <w:lvlText w:val="•"/>
      <w:lvlJc w:val="left"/>
      <w:pPr>
        <w:ind w:left="1150" w:hanging="836"/>
      </w:pPr>
      <w:rPr>
        <w:rFonts w:hint="default"/>
      </w:rPr>
    </w:lvl>
    <w:lvl w:ilvl="2" w:tplc="A2DE954C">
      <w:start w:val="1"/>
      <w:numFmt w:val="bullet"/>
      <w:lvlText w:val="•"/>
      <w:lvlJc w:val="left"/>
      <w:pPr>
        <w:ind w:left="2184" w:hanging="836"/>
      </w:pPr>
      <w:rPr>
        <w:rFonts w:hint="default"/>
      </w:rPr>
    </w:lvl>
    <w:lvl w:ilvl="3" w:tplc="FCC82A3E">
      <w:start w:val="1"/>
      <w:numFmt w:val="bullet"/>
      <w:lvlText w:val="•"/>
      <w:lvlJc w:val="left"/>
      <w:pPr>
        <w:ind w:left="3218" w:hanging="836"/>
      </w:pPr>
      <w:rPr>
        <w:rFonts w:hint="default"/>
      </w:rPr>
    </w:lvl>
    <w:lvl w:ilvl="4" w:tplc="E806B642">
      <w:start w:val="1"/>
      <w:numFmt w:val="bullet"/>
      <w:lvlText w:val="•"/>
      <w:lvlJc w:val="left"/>
      <w:pPr>
        <w:ind w:left="4253" w:hanging="836"/>
      </w:pPr>
      <w:rPr>
        <w:rFonts w:hint="default"/>
      </w:rPr>
    </w:lvl>
    <w:lvl w:ilvl="5" w:tplc="9288F4AC">
      <w:start w:val="1"/>
      <w:numFmt w:val="bullet"/>
      <w:lvlText w:val="•"/>
      <w:lvlJc w:val="left"/>
      <w:pPr>
        <w:ind w:left="5287" w:hanging="836"/>
      </w:pPr>
      <w:rPr>
        <w:rFonts w:hint="default"/>
      </w:rPr>
    </w:lvl>
    <w:lvl w:ilvl="6" w:tplc="20909B6A">
      <w:start w:val="1"/>
      <w:numFmt w:val="bullet"/>
      <w:lvlText w:val="•"/>
      <w:lvlJc w:val="left"/>
      <w:pPr>
        <w:ind w:left="6321" w:hanging="836"/>
      </w:pPr>
      <w:rPr>
        <w:rFonts w:hint="default"/>
      </w:rPr>
    </w:lvl>
    <w:lvl w:ilvl="7" w:tplc="C616AD12">
      <w:start w:val="1"/>
      <w:numFmt w:val="bullet"/>
      <w:lvlText w:val="•"/>
      <w:lvlJc w:val="left"/>
      <w:pPr>
        <w:ind w:left="7356" w:hanging="836"/>
      </w:pPr>
      <w:rPr>
        <w:rFonts w:hint="default"/>
      </w:rPr>
    </w:lvl>
    <w:lvl w:ilvl="8" w:tplc="1A3A90E8">
      <w:start w:val="1"/>
      <w:numFmt w:val="bullet"/>
      <w:lvlText w:val="•"/>
      <w:lvlJc w:val="left"/>
      <w:pPr>
        <w:ind w:left="8390" w:hanging="8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41"/>
    <w:rsid w:val="001352B9"/>
    <w:rsid w:val="001A7547"/>
    <w:rsid w:val="005905CC"/>
    <w:rsid w:val="005E7ECD"/>
    <w:rsid w:val="00652FC1"/>
    <w:rsid w:val="008B5841"/>
    <w:rsid w:val="00BC73E4"/>
    <w:rsid w:val="00C92B5B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369D7B"/>
  <w15:chartTrackingRefBased/>
  <w15:docId w15:val="{649A0ED5-D629-46B3-A859-E02A7A2E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41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ітка таблиці7"/>
    <w:basedOn w:val="a1"/>
    <w:next w:val="a3"/>
    <w:uiPriority w:val="39"/>
    <w:rsid w:val="008B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manager</cp:lastModifiedBy>
  <cp:revision>4</cp:revision>
  <dcterms:created xsi:type="dcterms:W3CDTF">2023-10-06T06:31:00Z</dcterms:created>
  <dcterms:modified xsi:type="dcterms:W3CDTF">2023-10-26T09:18:00Z</dcterms:modified>
</cp:coreProperties>
</file>