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143" w:firstLine="142"/>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ДОГОВІР</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143" w:firstLine="142"/>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 клірингове обслуговування №______</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143" w:firstLine="142"/>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м. Київ                                                                                                       «__»  ____202_ року</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143" w:firstLine="14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Товариство з обмеженою відповідальністю «УКРАЇНСЬКА РЕСУРСНА БІРЖА»,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що</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діє на підставі  ліцензії на здійснення клірингової діяльності з визначення зобов’язань, виданої  рішенням НКЦПФР №897 від 16.08.2023р.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надалі – Біржа), в особі в.о. директора </w:t>
      </w:r>
      <w:r w:rsidDel="00000000" w:rsidR="00000000" w:rsidRPr="00000000">
        <w:rPr>
          <w:rFonts w:ascii="Times New Roman" w:cs="Times New Roman" w:eastAsia="Times New Roman" w:hAnsi="Times New Roman"/>
          <w:sz w:val="24"/>
          <w:szCs w:val="24"/>
          <w:rtl w:val="0"/>
        </w:rPr>
        <w:t xml:space="preserve">Проценко Інни Сергіївни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як</w:t>
      </w: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діє на підставі Статуту, з однієї сторони, і</w:t>
      </w:r>
    </w:p>
    <w:p w:rsidR="00000000" w:rsidDel="00000000" w:rsidP="00000000" w:rsidRDefault="00000000" w:rsidRPr="00000000" w14:paraId="00000006">
      <w:pPr>
        <w:spacing w:after="0" w:line="240" w:lineRule="auto"/>
        <w:ind w:left="142" w:right="-143"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 (надалі - </w:t>
      </w:r>
      <w:r w:rsidDel="00000000" w:rsidR="00000000" w:rsidRPr="00000000">
        <w:rPr>
          <w:rFonts w:ascii="Times New Roman" w:cs="Times New Roman" w:eastAsia="Times New Roman" w:hAnsi="Times New Roman"/>
          <w:b w:val="1"/>
          <w:bCs w:val="1"/>
          <w:sz w:val="24"/>
          <w:szCs w:val="24"/>
          <w:rtl w:val="0"/>
        </w:rPr>
        <w:t xml:space="preserve">Учасник клірингу)</w:t>
      </w:r>
      <w:r w:rsidDel="00000000" w:rsidR="00000000" w:rsidRPr="00000000">
        <w:rPr>
          <w:rFonts w:ascii="Times New Roman" w:cs="Times New Roman" w:eastAsia="Times New Roman" w:hAnsi="Times New Roman"/>
          <w:sz w:val="24"/>
          <w:szCs w:val="24"/>
          <w:rtl w:val="0"/>
        </w:rPr>
        <w:t xml:space="preserve">, в особі _________________________________________, який діє на підставі _____________________, з другої сторони,  разом надалі іменовані – Сторони, уклали цей Договір про клірингове обслуговування (далі – Договір) про наступне:</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Біржа надає Учаснику клірингу клірингові послуги та інші пов'язані з ними послуги відповідно до Правил провадження клірингової діяльності Товариства з обмеженою відповідальністю «УКРАЇНСЬКА РЕСУРСНА БІРЖА» (далі – Правила клірингу), а Учасник клірингу зобов’язується оплачувати зазначені послуги в порядку, визначеному цим Договором, Правилами клірингу та іншими внутрішніми документами Біржі, які регламентують порядок надання клірингових послуг (далі – внутрішні документи Біржі).</w:t>
      </w:r>
    </w:p>
    <w:p w:rsidR="00000000" w:rsidDel="00000000" w:rsidP="00000000" w:rsidRDefault="00000000" w:rsidRPr="00000000" w14:paraId="00000008">
      <w:pPr>
        <w:pStyle w:val="Heading1"/>
        <w:keepNext w:val="0"/>
        <w:keepLines w:val="0"/>
        <w:widowControl w:val="0"/>
        <w:numPr>
          <w:ilvl w:val="0"/>
          <w:numId w:val="2"/>
        </w:numPr>
        <w:tabs>
          <w:tab w:val="left" w:leader="none" w:pos="142"/>
        </w:tabs>
        <w:spacing w:before="0" w:line="274" w:lineRule="auto"/>
        <w:ind w:left="142" w:right="-143" w:firstLine="142"/>
        <w:jc w:val="both"/>
        <w:rPr>
          <w:rFonts w:ascii="Times New Roman" w:cs="Times New Roman" w:eastAsia="Times New Roman" w:hAnsi="Times New Roman"/>
          <w:b w:val="1"/>
          <w:bCs w:val="1"/>
          <w:color w:val="000000"/>
          <w:sz w:val="24"/>
          <w:szCs w:val="24"/>
        </w:rPr>
      </w:pPr>
      <w:bookmarkStart w:colFirst="0" w:colLast="0" w:name="_heading=h.o7ab5xuazmfj" w:id="0"/>
      <w:bookmarkEnd w:id="0"/>
      <w:r w:rsidDel="00000000" w:rsidR="00000000" w:rsidRPr="00000000">
        <w:rPr>
          <w:rFonts w:ascii="Times New Roman" w:cs="Times New Roman" w:eastAsia="Times New Roman" w:hAnsi="Times New Roman"/>
          <w:color w:val="000000"/>
          <w:sz w:val="24"/>
          <w:szCs w:val="24"/>
          <w:rtl w:val="0"/>
        </w:rPr>
        <w:t xml:space="preserve">Загальний порядок та умови надання клірингових послуг визначаються законодавством України, цим Договором, Правилами клірингу та іншими внутрішніми документами Біржі. </w:t>
      </w:r>
      <w:r w:rsidDel="00000000" w:rsidR="00000000" w:rsidRPr="00000000">
        <w:rPr>
          <w:rtl w:val="0"/>
        </w:rPr>
      </w:r>
    </w:p>
    <w:p w:rsidR="00000000" w:rsidDel="00000000" w:rsidP="00000000" w:rsidRDefault="00000000" w:rsidRPr="00000000" w14:paraId="00000009">
      <w:pPr>
        <w:pStyle w:val="Heading1"/>
        <w:keepNext w:val="0"/>
        <w:keepLines w:val="0"/>
        <w:widowControl w:val="0"/>
        <w:numPr>
          <w:ilvl w:val="0"/>
          <w:numId w:val="2"/>
        </w:numPr>
        <w:tabs>
          <w:tab w:val="left" w:leader="none" w:pos="142"/>
        </w:tabs>
        <w:spacing w:before="0" w:line="274" w:lineRule="auto"/>
        <w:ind w:left="142" w:right="-143" w:firstLine="142"/>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Сторони мають права та зобов’язання, які визначені Правилами клірингу та іншими внутрішніми документами Біржі.</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Вартість послуг, які надаються відповідно до умов цього Договору, встановлюється  внутрішніми документами Біржі та зазначається в рахунках-фактурах та Актах приймання-передачі  послуг.</w:t>
      </w:r>
    </w:p>
    <w:p w:rsidR="00000000" w:rsidDel="00000000" w:rsidP="00000000" w:rsidRDefault="00000000" w:rsidRPr="00000000" w14:paraId="0000000B">
      <w:pPr>
        <w:pStyle w:val="Heading1"/>
        <w:keepNext w:val="0"/>
        <w:keepLines w:val="0"/>
        <w:widowControl w:val="0"/>
        <w:numPr>
          <w:ilvl w:val="0"/>
          <w:numId w:val="2"/>
        </w:numPr>
        <w:tabs>
          <w:tab w:val="left" w:leader="none" w:pos="142"/>
        </w:tabs>
        <w:spacing w:before="0" w:line="274" w:lineRule="auto"/>
        <w:ind w:left="142" w:right="-143" w:firstLine="142"/>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Учасник клірингу оплачує клірингові послуги не пізніше 3 (трьох) банківських днів з дати оформлення рахунку-фактури.  </w:t>
      </w:r>
      <w:r w:rsidDel="00000000" w:rsidR="00000000" w:rsidRPr="00000000">
        <w:rPr>
          <w:rtl w:val="0"/>
        </w:rPr>
      </w:r>
    </w:p>
    <w:p w:rsidR="00000000" w:rsidDel="00000000" w:rsidP="00000000" w:rsidRDefault="00000000" w:rsidRPr="00000000" w14:paraId="0000000C">
      <w:pPr>
        <w:pStyle w:val="Heading1"/>
        <w:keepNext w:val="0"/>
        <w:keepLines w:val="0"/>
        <w:widowControl w:val="0"/>
        <w:numPr>
          <w:ilvl w:val="0"/>
          <w:numId w:val="2"/>
        </w:numPr>
        <w:tabs>
          <w:tab w:val="left" w:leader="none" w:pos="142"/>
        </w:tabs>
        <w:spacing w:before="0" w:line="274" w:lineRule="auto"/>
        <w:ind w:left="142" w:right="-143" w:firstLine="142"/>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випадку порушення строків проведення платежів за цим Договором понад 10 календарних днів, Біржа має право з наступного робочого дня зупинити надання Учаснику клірингу клірингових послуг. Відновлення надання клірингових послуг здійснюється після оплати Учасником клірингу заборгованості перед Біржею.</w:t>
      </w:r>
      <w:r w:rsidDel="00000000" w:rsidR="00000000" w:rsidRPr="00000000">
        <w:rPr>
          <w:rtl w:val="0"/>
        </w:rPr>
      </w:r>
    </w:p>
    <w:p w:rsidR="00000000" w:rsidDel="00000000" w:rsidP="00000000" w:rsidRDefault="00000000" w:rsidRPr="00000000" w14:paraId="0000000D">
      <w:pPr>
        <w:pStyle w:val="Heading1"/>
        <w:keepNext w:val="0"/>
        <w:keepLines w:val="0"/>
        <w:widowControl w:val="0"/>
        <w:numPr>
          <w:ilvl w:val="0"/>
          <w:numId w:val="2"/>
        </w:numPr>
        <w:tabs>
          <w:tab w:val="left" w:leader="none" w:pos="142"/>
        </w:tabs>
        <w:spacing w:before="0" w:line="274" w:lineRule="auto"/>
        <w:ind w:left="142" w:right="-143" w:firstLine="142"/>
        <w:jc w:val="both"/>
        <w:rPr>
          <w:rFonts w:ascii="Times New Roman" w:cs="Times New Roman" w:eastAsia="Times New Roman" w:hAnsi="Times New Roman"/>
          <w:b w:val="1"/>
          <w:bCs w:val="1"/>
          <w:color w:val="000000"/>
          <w:sz w:val="24"/>
          <w:szCs w:val="24"/>
        </w:rPr>
      </w:pPr>
      <w:bookmarkStart w:colFirst="0" w:colLast="0" w:name="_heading=h.tyjcwt" w:id="1"/>
      <w:bookmarkEnd w:id="1"/>
      <w:r w:rsidDel="00000000" w:rsidR="00000000" w:rsidRPr="00000000">
        <w:rPr>
          <w:rFonts w:ascii="Times New Roman" w:cs="Times New Roman" w:eastAsia="Times New Roman" w:hAnsi="Times New Roman"/>
          <w:color w:val="000000"/>
          <w:sz w:val="24"/>
          <w:szCs w:val="24"/>
          <w:rtl w:val="0"/>
        </w:rPr>
        <w:t xml:space="preserve">Надання клірингових послуг за цим Договором можуть бути тимчасово припинено та відновлено за умов і в порядку, визначеному Правилами клірингу.</w:t>
      </w:r>
      <w:r w:rsidDel="00000000" w:rsidR="00000000" w:rsidRPr="00000000">
        <w:rPr>
          <w:rtl w:val="0"/>
        </w:rPr>
      </w:r>
    </w:p>
    <w:p w:rsidR="00000000" w:rsidDel="00000000" w:rsidP="00000000" w:rsidRDefault="00000000" w:rsidRPr="00000000" w14:paraId="0000000E">
      <w:pPr>
        <w:pStyle w:val="Heading1"/>
        <w:keepNext w:val="0"/>
        <w:keepLines w:val="0"/>
        <w:widowControl w:val="0"/>
        <w:numPr>
          <w:ilvl w:val="0"/>
          <w:numId w:val="2"/>
        </w:numPr>
        <w:tabs>
          <w:tab w:val="left" w:leader="none" w:pos="142"/>
        </w:tabs>
        <w:spacing w:before="0" w:line="274" w:lineRule="auto"/>
        <w:ind w:left="142" w:right="-143" w:firstLine="142"/>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Укладанням цього Договору Учасник клірингу надає згоду на обов’язковість проведення процедури ліквідаційного неттінгу Біржею як особою, що провадить клірингову діяльність, на умовах і порядку, визначених Правилами клірингу та та іншими внутрішніми документами Біржі, за біржовими договорами, які були укладені з посиланням на обов’язковість процедури ліквідаційного неттінгу, в разі визнання неплатоспроможним Учасника клірингу/клієнта Учасника клірингу.</w:t>
      </w:r>
      <w:r w:rsidDel="00000000" w:rsidR="00000000" w:rsidRPr="00000000">
        <w:rPr>
          <w:rtl w:val="0"/>
        </w:rPr>
      </w:r>
    </w:p>
    <w:p w:rsidR="00000000" w:rsidDel="00000000" w:rsidP="00000000" w:rsidRDefault="00000000" w:rsidRPr="00000000" w14:paraId="0000000F">
      <w:pPr>
        <w:pStyle w:val="Heading1"/>
        <w:keepNext w:val="0"/>
        <w:keepLines w:val="0"/>
        <w:widowControl w:val="0"/>
        <w:numPr>
          <w:ilvl w:val="0"/>
          <w:numId w:val="2"/>
        </w:numPr>
        <w:tabs>
          <w:tab w:val="left" w:leader="none" w:pos="142"/>
        </w:tabs>
        <w:spacing w:before="0" w:line="274" w:lineRule="auto"/>
        <w:ind w:left="142" w:right="-143" w:firstLine="142"/>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Підписанням цього договору Учасник клірингу підтверджує свою беззастережну згоду на те, що на момент укладання цього Договору Учасник клірингу ознайомився з Правилами клірингу та іншими внутрішніми документами Біржі, що розміщені на веб-сайті Біржі (</w:t>
      </w:r>
      <w:hyperlink r:id="rId7">
        <w:r w:rsidDel="00000000" w:rsidR="00000000" w:rsidRPr="00000000">
          <w:rPr>
            <w:rFonts w:ascii="Times New Roman" w:cs="Times New Roman" w:eastAsia="Times New Roman" w:hAnsi="Times New Roman"/>
            <w:color w:val="000000"/>
            <w:sz w:val="24"/>
            <w:szCs w:val="24"/>
            <w:u w:val="single"/>
            <w:rtl w:val="0"/>
          </w:rPr>
          <w:t xml:space="preserve">http://urb.ua</w:t>
        </w:r>
      </w:hyperlink>
      <w:r w:rsidDel="00000000" w:rsidR="00000000" w:rsidRPr="00000000">
        <w:rPr>
          <w:rFonts w:ascii="Times New Roman" w:cs="Times New Roman" w:eastAsia="Times New Roman" w:hAnsi="Times New Roman"/>
          <w:color w:val="000000"/>
          <w:sz w:val="24"/>
          <w:szCs w:val="24"/>
          <w:rtl w:val="0"/>
        </w:rPr>
        <w:t xml:space="preserve">) та надані Учаснику клірингу, повністю зрозумів їх зміст та погоджується з Правилами клірингу та умовами інших внутрішніх документів Біржі і зобов’язується їх виконувати  Правила клірингу є невід’ємною частиною цього Договору.</w:t>
      </w:r>
      <w:r w:rsidDel="00000000" w:rsidR="00000000" w:rsidRPr="00000000">
        <w:rPr>
          <w:rtl w:val="0"/>
        </w:rPr>
      </w:r>
    </w:p>
    <w:p w:rsidR="00000000" w:rsidDel="00000000" w:rsidP="00000000" w:rsidRDefault="00000000" w:rsidRPr="00000000" w14:paraId="00000010">
      <w:pPr>
        <w:pStyle w:val="Heading1"/>
        <w:keepNext w:val="0"/>
        <w:keepLines w:val="0"/>
        <w:widowControl w:val="0"/>
        <w:numPr>
          <w:ilvl w:val="0"/>
          <w:numId w:val="2"/>
        </w:numPr>
        <w:tabs>
          <w:tab w:val="left" w:leader="none" w:pos="142"/>
          <w:tab w:val="left" w:leader="none" w:pos="851"/>
        </w:tabs>
        <w:spacing w:before="0" w:line="274" w:lineRule="auto"/>
        <w:ind w:left="142" w:right="-143" w:firstLine="142"/>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Відповідальність Сторін:</w:t>
      </w:r>
      <w:r w:rsidDel="00000000" w:rsidR="00000000" w:rsidRPr="00000000">
        <w:rPr>
          <w:rtl w:val="0"/>
        </w:rPr>
      </w:r>
    </w:p>
    <w:p w:rsidR="00000000" w:rsidDel="00000000" w:rsidP="00000000" w:rsidRDefault="00000000" w:rsidRPr="00000000" w14:paraId="00000011">
      <w:pPr>
        <w:pStyle w:val="Heading1"/>
        <w:keepNext w:val="0"/>
        <w:keepLines w:val="0"/>
        <w:widowControl w:val="0"/>
        <w:numPr>
          <w:ilvl w:val="1"/>
          <w:numId w:val="2"/>
        </w:numPr>
        <w:tabs>
          <w:tab w:val="left" w:leader="none" w:pos="142"/>
          <w:tab w:val="left" w:leader="none" w:pos="851"/>
          <w:tab w:val="left" w:leader="none" w:pos="993"/>
        </w:tabs>
        <w:spacing w:before="0" w:line="274" w:lineRule="auto"/>
        <w:ind w:left="142" w:right="-143" w:firstLine="142"/>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яка порушила зобов’язання відповідно до цього Договору, повинна усунути ці порушення в найкоротший строк.</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разі невиконання або неналежного виконання однією з Сторін своїх зобов’язань, передбачених цим Договором або законодавством України, винна Сторона несе відповідальність за завдані реальні збитки, які підтверджені документами.</w:t>
      </w:r>
    </w:p>
    <w:p w:rsidR="00000000" w:rsidDel="00000000" w:rsidP="00000000" w:rsidRDefault="00000000" w:rsidRPr="00000000" w14:paraId="0000001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разі порушення Учасником клірингу передбачених цим Договором обов’язків щодо оплати клірингових послуг, Біржа має право застосувати до Учасника клірингу штраф у розмірі 25 (двадцяти п’яти) відсотків від суми заборгованості Учасника клірингу перед Біржею за надані Учаснику клірингу клірингові послуги.</w:t>
      </w:r>
    </w:p>
    <w:p w:rsidR="00000000" w:rsidDel="00000000" w:rsidP="00000000" w:rsidRDefault="00000000" w:rsidRPr="00000000" w14:paraId="0000001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Біржа звільняється від відповідальності за:</w:t>
      </w:r>
    </w:p>
    <w:p w:rsidR="00000000" w:rsidDel="00000000" w:rsidP="00000000" w:rsidRDefault="00000000" w:rsidRPr="00000000" w14:paraId="0000001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несвоєчасне відкриття клірингових рахунків, за невиконання або несвоєчасне виконання клірингових операцій, здійснення грошових розрахунків за правочинами щодо біржових товарів, що виникло внаслідок порушення Учасником клірингу умов Договору, законодавства України та вимог внутрішніх документів Біржі;</w:t>
      </w:r>
    </w:p>
    <w:p w:rsidR="00000000" w:rsidDel="00000000" w:rsidP="00000000" w:rsidRDefault="00000000" w:rsidRPr="00000000" w14:paraId="0000001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достовірність та повноту змісту документів та/або інформації, яка надається Учасником клірингу Біржі на виконання цього Договору;</w:t>
      </w:r>
    </w:p>
    <w:p w:rsidR="00000000" w:rsidDel="00000000" w:rsidP="00000000" w:rsidRDefault="00000000" w:rsidRPr="00000000" w14:paraId="0000001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неотримання чи несвоєчасне отримання Учасником клірингу від Біржі </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документів та іншої інформації,</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передбаченої Правилами клірингу та іншими внутрішніми документами Біржі, що виникло внаслідок ненадання чи несвоєчасного надання Учасником клірингу до Біржі інформації про внесення змін до документів, що надавалися  при взятті на облік Учасника клірингу;</w:t>
      </w:r>
    </w:p>
    <w:p w:rsidR="00000000" w:rsidDel="00000000" w:rsidP="00000000" w:rsidRDefault="00000000" w:rsidRPr="00000000" w14:paraId="0000001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розголошення інформації щодо Учасника клірингу, клієнтів Учасника клірингу і контрагентів Учасника клірингу, правочинів щодо біржових товарів, вчинених в інтересах Учасника клірингу та/або клієнтів та контрагентів Учасника клірингу, належних їм коштів, у разі доступу до такої інформації третіх осіб під час її передачі засобами поштового чи кур’єрського зв’язку;</w:t>
      </w:r>
    </w:p>
    <w:p w:rsidR="00000000" w:rsidDel="00000000" w:rsidP="00000000" w:rsidRDefault="00000000" w:rsidRPr="00000000" w14:paraId="0000001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стан технічного обладнання Учасника клірингу та/або ліній зв’язку, якість каналів Інтернет в Учасника клірингу через відключення електроенергії та/або ушкодження ліній зв’язку, за збої, що можливі в результаті використання Учасником клірингу неліцензійного програмного забезпечення, та/або у випадку зараження програмного забезпечення вірусами.</w:t>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Сторони несуть відповідальність за достовірність наданих іншій Стороні   документів та інформації.</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Взаємовідносини Сторін, що не врегульовані цим Договором, а також терміни, які        не визначені цим Договором, регулюються та визначаються законодавством України та внутрішніми документами Біржі.</w:t>
      </w:r>
    </w:p>
    <w:p w:rsidR="00000000" w:rsidDel="00000000" w:rsidP="00000000" w:rsidRDefault="00000000" w:rsidRPr="00000000" w14:paraId="0000001C">
      <w:pPr>
        <w:pStyle w:val="Heading1"/>
        <w:keepNext w:val="0"/>
        <w:keepLines w:val="0"/>
        <w:widowControl w:val="0"/>
        <w:numPr>
          <w:ilvl w:val="0"/>
          <w:numId w:val="2"/>
        </w:numPr>
        <w:tabs>
          <w:tab w:val="left" w:leader="none" w:pos="142"/>
          <w:tab w:val="left" w:leader="none" w:pos="851"/>
        </w:tabs>
        <w:spacing w:before="0" w:line="274" w:lineRule="auto"/>
        <w:ind w:left="142" w:right="-143" w:firstLine="142"/>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Цей Договір набуває чинності з моменту його підписання Сторонами і діє протягом невизначеного строку до його розірвання у випадках та порядку, визначених цим Договором.</w:t>
      </w:r>
      <w:r w:rsidDel="00000000" w:rsidR="00000000" w:rsidRPr="00000000">
        <w:rPr>
          <w:rtl w:val="0"/>
        </w:rPr>
      </w:r>
    </w:p>
    <w:p w:rsidR="00000000" w:rsidDel="00000000" w:rsidP="00000000" w:rsidRDefault="00000000" w:rsidRPr="00000000" w14:paraId="0000001D">
      <w:pPr>
        <w:pStyle w:val="Heading1"/>
        <w:keepNext w:val="0"/>
        <w:keepLines w:val="0"/>
        <w:widowControl w:val="0"/>
        <w:numPr>
          <w:ilvl w:val="0"/>
          <w:numId w:val="2"/>
        </w:numPr>
        <w:tabs>
          <w:tab w:val="left" w:leader="none" w:pos="851"/>
        </w:tabs>
        <w:spacing w:before="0" w:line="274" w:lineRule="auto"/>
        <w:ind w:left="142" w:right="-143" w:firstLine="142"/>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Договір може бути достроково розірваний:</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0"/>
          <w:tab w:val="left" w:leader="none" w:pos="851"/>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взаємною згодою Сторін;</w:t>
      </w:r>
    </w:p>
    <w:p w:rsidR="00000000" w:rsidDel="00000000" w:rsidP="00000000" w:rsidRDefault="00000000" w:rsidRPr="00000000" w14:paraId="0000001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0"/>
          <w:tab w:val="left" w:leader="none" w:pos="851"/>
          <w:tab w:val="left" w:leader="none" w:pos="1492"/>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вимогу Учасника клірингу у випадках, передбачених Правилами клірингу та законодавством України;</w:t>
      </w:r>
    </w:p>
    <w:p w:rsidR="00000000" w:rsidDel="00000000" w:rsidP="00000000" w:rsidRDefault="00000000" w:rsidRPr="00000000" w14:paraId="0000002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0"/>
          <w:tab w:val="left" w:leader="none" w:pos="851"/>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односторонньому порядку Біржею у випадках, передбачених Правилами клірингу та законодавством України.</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851"/>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Цей Договір укладено у паперовому вигляді у двох примірниках, підписаних уповноваженими представниками Сторін. Кожен з примірників Договору має однакову юридичну силу і зберігається по одному примірнику у кожної із Сторін.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cyan"/>
          <w:u w:val="none"/>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851"/>
        </w:tabs>
        <w:spacing w:after="0" w:before="0" w:line="240" w:lineRule="auto"/>
        <w:ind w:left="142" w:right="-143" w:firstLine="14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Внесення змін та доповнень до цього Договору здійснюється шляхом укладення Сторонами додаткових угод, які набирають чинності з моменту їх підписання уповноваженими представниками Сторін та є невід’ємними частинами цього Договору.</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 w:line="240" w:lineRule="auto"/>
        <w:ind w:left="142" w:right="-143" w:firstLine="142"/>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Реквізити сторін</w:t>
      </w:r>
    </w:p>
    <w:tbl>
      <w:tblPr>
        <w:tblStyle w:val="Table1"/>
        <w:tblW w:w="9679.0" w:type="dxa"/>
        <w:jc w:val="left"/>
        <w:tblLayout w:type="fixed"/>
        <w:tblLook w:val="0400"/>
      </w:tblPr>
      <w:tblGrid>
        <w:gridCol w:w="4839"/>
        <w:gridCol w:w="4840"/>
        <w:tblGridChange w:id="0">
          <w:tblGrid>
            <w:gridCol w:w="4839"/>
            <w:gridCol w:w="4840"/>
          </w:tblGrid>
        </w:tblGridChange>
      </w:tblGrid>
      <w:tr>
        <w:trPr>
          <w:cantSplit w:val="0"/>
          <w:tblHeader w:val="0"/>
        </w:trPr>
        <w:tc>
          <w:tcPr/>
          <w:p w:rsidR="00000000" w:rsidDel="00000000" w:rsidP="00000000" w:rsidRDefault="00000000" w:rsidRPr="00000000" w14:paraId="00000024">
            <w:pPr>
              <w:spacing w:after="0" w:line="240" w:lineRule="auto"/>
              <w:ind w:left="142" w:right="-143" w:firstLine="14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Біржа</w:t>
            </w:r>
          </w:p>
        </w:tc>
        <w:tc>
          <w:tcPr/>
          <w:p w:rsidR="00000000" w:rsidDel="00000000" w:rsidP="00000000" w:rsidRDefault="00000000" w:rsidRPr="00000000" w14:paraId="00000025">
            <w:pPr>
              <w:spacing w:after="0" w:line="240" w:lineRule="auto"/>
              <w:ind w:left="142" w:right="-143" w:firstLine="14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Учасник клірингу</w:t>
            </w:r>
          </w:p>
        </w:tc>
      </w:tr>
      <w:tr>
        <w:trPr>
          <w:cantSplit w:val="0"/>
          <w:tblHeader w:val="0"/>
        </w:trPr>
        <w:tc>
          <w:tcPr/>
          <w:p w:rsidR="00000000" w:rsidDel="00000000" w:rsidP="00000000" w:rsidRDefault="00000000" w:rsidRPr="00000000" w14:paraId="00000026">
            <w:pPr>
              <w:spacing w:after="0" w:line="240" w:lineRule="auto"/>
              <w:ind w:left="142" w:right="-143" w:firstLine="142"/>
              <w:rPr>
                <w:rFonts w:ascii="Times New Roman" w:cs="Times New Roman" w:eastAsia="Times New Roman" w:hAnsi="Times New Roman"/>
                <w:b w:val="1"/>
                <w:bCs w:val="1"/>
                <w:sz w:val="24"/>
                <w:szCs w:val="24"/>
              </w:rPr>
            </w:pPr>
            <w:bookmarkStart w:colFirst="0" w:colLast="0" w:name="_heading=h.hg99o8kqbt9z" w:id="2"/>
            <w:bookmarkEnd w:id="2"/>
            <w:r w:rsidDel="00000000" w:rsidR="00000000" w:rsidRPr="00000000">
              <w:rPr>
                <w:rFonts w:ascii="Times New Roman" w:cs="Times New Roman" w:eastAsia="Times New Roman" w:hAnsi="Times New Roman"/>
                <w:b w:val="1"/>
                <w:bCs w:val="1"/>
                <w:sz w:val="24"/>
                <w:szCs w:val="24"/>
                <w:rtl w:val="0"/>
              </w:rPr>
              <w:t xml:space="preserve">Товариство з обмеженою відповідальністю «УКРАЇНСЬКА РЕСУРСНА БІРЖА»</w:t>
            </w:r>
          </w:p>
          <w:p w:rsidR="00000000" w:rsidDel="00000000" w:rsidP="00000000" w:rsidRDefault="00000000" w:rsidRPr="00000000" w14:paraId="00000027">
            <w:pPr>
              <w:spacing w:after="0" w:line="240" w:lineRule="auto"/>
              <w:ind w:left="142" w:right="-143" w:firstLine="1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ЄДРПОУ: 44585784</w:t>
            </w:r>
          </w:p>
          <w:p w:rsidR="00000000" w:rsidDel="00000000" w:rsidP="00000000" w:rsidRDefault="00000000" w:rsidRPr="00000000" w14:paraId="00000028">
            <w:pPr>
              <w:spacing w:after="0" w:line="240" w:lineRule="auto"/>
              <w:ind w:left="142" w:right="-143" w:firstLine="1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ІПН: 445857826586</w:t>
            </w:r>
          </w:p>
          <w:p w:rsidR="00000000" w:rsidDel="00000000" w:rsidP="00000000" w:rsidRDefault="00000000" w:rsidRPr="00000000" w14:paraId="00000029">
            <w:pPr>
              <w:spacing w:after="0" w:line="240" w:lineRule="auto"/>
              <w:ind w:left="142" w:right="-143" w:firstLine="1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w:t>
            </w:r>
            <w:r w:rsidDel="00000000" w:rsidR="00000000" w:rsidRPr="00000000">
              <w:rPr>
                <w:rFonts w:ascii="Times New Roman" w:cs="Times New Roman" w:eastAsia="Times New Roman" w:hAnsi="Times New Roman"/>
                <w:color w:val="000000"/>
                <w:sz w:val="24"/>
                <w:szCs w:val="24"/>
                <w:rtl w:val="0"/>
              </w:rPr>
              <w:t xml:space="preserve">03150, м. Київ, вул. Лабораторна, буд. 14/91, прим. № 39а</w:t>
            </w:r>
            <w:r w:rsidDel="00000000" w:rsidR="00000000" w:rsidRPr="00000000">
              <w:rPr>
                <w:rtl w:val="0"/>
              </w:rPr>
            </w:r>
          </w:p>
          <w:p w:rsidR="00000000" w:rsidDel="00000000" w:rsidP="00000000" w:rsidRDefault="00000000" w:rsidRPr="00000000" w14:paraId="0000002A">
            <w:pPr>
              <w:spacing w:after="0" w:line="240" w:lineRule="auto"/>
              <w:ind w:left="142" w:right="-143" w:firstLine="1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 UA323282090000026006000018130 </w:t>
            </w:r>
          </w:p>
          <w:p w:rsidR="00000000" w:rsidDel="00000000" w:rsidP="00000000" w:rsidRDefault="00000000" w:rsidRPr="00000000" w14:paraId="0000002B">
            <w:pPr>
              <w:spacing w:after="0" w:line="240" w:lineRule="auto"/>
              <w:ind w:left="142" w:right="-143" w:firstLine="1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АБ «Південний»</w:t>
            </w:r>
          </w:p>
          <w:p w:rsidR="00000000" w:rsidDel="00000000" w:rsidP="00000000" w:rsidRDefault="00000000" w:rsidRPr="00000000" w14:paraId="0000002C">
            <w:pPr>
              <w:spacing w:after="0" w:line="240" w:lineRule="auto"/>
              <w:ind w:left="142" w:right="-143" w:firstLine="1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(044) 333-96-18</w:t>
            </w:r>
          </w:p>
          <w:p w:rsidR="00000000" w:rsidDel="00000000" w:rsidP="00000000" w:rsidRDefault="00000000" w:rsidRPr="00000000" w14:paraId="0000002D">
            <w:pPr>
              <w:spacing w:after="0" w:line="240" w:lineRule="auto"/>
              <w:ind w:left="142" w:right="-143" w:firstLine="1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customers@urb.ua</w:t>
            </w:r>
          </w:p>
          <w:p w:rsidR="00000000" w:rsidDel="00000000" w:rsidP="00000000" w:rsidRDefault="00000000" w:rsidRPr="00000000" w14:paraId="0000002E">
            <w:pPr>
              <w:spacing w:after="0" w:line="240" w:lineRule="auto"/>
              <w:ind w:left="142" w:right="-143" w:firstLine="14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spacing w:after="0" w:line="240" w:lineRule="auto"/>
              <w:ind w:left="142" w:right="-143" w:firstLine="14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0">
            <w:pPr>
              <w:spacing w:after="0" w:line="240" w:lineRule="auto"/>
              <w:ind w:left="142" w:right="-143" w:firstLine="142"/>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after="0" w:line="240" w:lineRule="auto"/>
              <w:ind w:left="142" w:right="-143" w:firstLine="14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 директора</w:t>
            </w:r>
          </w:p>
          <w:p w:rsidR="00000000" w:rsidDel="00000000" w:rsidP="00000000" w:rsidRDefault="00000000" w:rsidRPr="00000000" w14:paraId="00000032">
            <w:pPr>
              <w:spacing w:after="0" w:line="240" w:lineRule="auto"/>
              <w:ind w:left="142" w:right="-143" w:firstLine="14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after="0" w:line="240" w:lineRule="auto"/>
              <w:ind w:left="142" w:right="-143" w:firstLine="14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after="0" w:line="240" w:lineRule="auto"/>
              <w:ind w:left="142" w:right="-143"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       Проценко І.С.</w:t>
            </w:r>
            <w:r w:rsidDel="00000000" w:rsidR="00000000" w:rsidRPr="00000000">
              <w:rPr>
                <w:rtl w:val="0"/>
              </w:rPr>
            </w:r>
          </w:p>
        </w:tc>
        <w:tc>
          <w:tcPr/>
          <w:p w:rsidR="00000000" w:rsidDel="00000000" w:rsidP="00000000" w:rsidRDefault="00000000" w:rsidRPr="00000000" w14:paraId="00000035">
            <w:pPr>
              <w:spacing w:after="0" w:line="240" w:lineRule="auto"/>
              <w:ind w:left="142" w:right="-143" w:firstLine="142"/>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6">
      <w:pPr>
        <w:ind w:left="142" w:right="-143" w:firstLine="142"/>
        <w:rPr/>
      </w:pPr>
      <w:r w:rsidDel="00000000" w:rsidR="00000000" w:rsidRPr="00000000">
        <w:rPr>
          <w:rtl w:val="0"/>
        </w:rPr>
      </w:r>
    </w:p>
    <w:sectPr>
      <w:pgSz w:h="16838" w:w="11906" w:orient="portrait"/>
      <w:pgMar w:bottom="1134" w:top="1134" w:left="1418"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240" w:hanging="240"/>
      </w:pPr>
      <w:rPr>
        <w:rFonts w:ascii="Times New Roman" w:cs="Times New Roman" w:eastAsia="Times New Roman" w:hAnsi="Times New Roman"/>
        <w:b w:val="1"/>
        <w:bCs w:val="1"/>
        <w:sz w:val="24"/>
        <w:szCs w:val="24"/>
      </w:rPr>
    </w:lvl>
    <w:lvl w:ilvl="1">
      <w:start w:val="1"/>
      <w:numFmt w:val="decimal"/>
      <w:lvlText w:val="%1.%2."/>
      <w:lvlJc w:val="left"/>
      <w:pPr>
        <w:ind w:left="856" w:hanging="430.00000000000006"/>
      </w:pPr>
      <w:rPr>
        <w:b w:val="0"/>
        <w:bCs w:val="0"/>
      </w:rPr>
    </w:lvl>
    <w:lvl w:ilvl="2">
      <w:start w:val="1"/>
      <w:numFmt w:val="decimal"/>
      <w:lvlText w:val="%1.%2.%3."/>
      <w:lvlJc w:val="left"/>
      <w:pPr>
        <w:ind w:left="118" w:hanging="430"/>
      </w:pPr>
      <w:rPr>
        <w:rFonts w:ascii="Times New Roman" w:cs="Times New Roman" w:eastAsia="Times New Roman" w:hAnsi="Times New Roman"/>
        <w:sz w:val="24"/>
        <w:szCs w:val="24"/>
      </w:rPr>
    </w:lvl>
    <w:lvl w:ilvl="3">
      <w:start w:val="1"/>
      <w:numFmt w:val="decimal"/>
      <w:lvlText w:val="%1.%2.%3.%4."/>
      <w:lvlJc w:val="left"/>
      <w:pPr>
        <w:ind w:left="118" w:hanging="430"/>
      </w:pPr>
      <w:rPr>
        <w:rFonts w:ascii="Times New Roman" w:cs="Times New Roman" w:eastAsia="Times New Roman" w:hAnsi="Times New Roman"/>
        <w:sz w:val="24"/>
        <w:szCs w:val="24"/>
      </w:rPr>
    </w:lvl>
    <w:lvl w:ilvl="4">
      <w:start w:val="0"/>
      <w:numFmt w:val="bullet"/>
      <w:lvlText w:val="•"/>
      <w:lvlJc w:val="left"/>
      <w:pPr>
        <w:ind w:left="4908" w:hanging="430"/>
      </w:pPr>
      <w:rPr/>
    </w:lvl>
    <w:lvl w:ilvl="5">
      <w:start w:val="0"/>
      <w:numFmt w:val="bullet"/>
      <w:lvlText w:val="•"/>
      <w:lvlJc w:val="left"/>
      <w:pPr>
        <w:ind w:left="5737" w:hanging="430"/>
      </w:pPr>
      <w:rPr/>
    </w:lvl>
    <w:lvl w:ilvl="6">
      <w:start w:val="0"/>
      <w:numFmt w:val="bullet"/>
      <w:lvlText w:val="•"/>
      <w:lvlJc w:val="left"/>
      <w:pPr>
        <w:ind w:left="6565" w:hanging="430"/>
      </w:pPr>
      <w:rPr/>
    </w:lvl>
    <w:lvl w:ilvl="7">
      <w:start w:val="0"/>
      <w:numFmt w:val="bullet"/>
      <w:lvlText w:val="•"/>
      <w:lvlJc w:val="left"/>
      <w:pPr>
        <w:ind w:left="7394" w:hanging="430"/>
      </w:pPr>
      <w:rPr/>
    </w:lvl>
    <w:lvl w:ilvl="8">
      <w:start w:val="0"/>
      <w:numFmt w:val="bullet"/>
      <w:lvlText w:val="•"/>
      <w:lvlJc w:val="left"/>
      <w:pPr>
        <w:ind w:left="8222" w:hanging="43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U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uiPriority w:val="9"/>
    <w:rsid w:val="00C46228"/>
    <w:rPr>
      <w:rFonts w:asciiTheme="majorHAnsi" w:cstheme="majorBidi" w:eastAsiaTheme="majorEastAsia" w:hAnsiTheme="majorHAnsi"/>
      <w:color w:val="2f5496" w:themeColor="accent1" w:themeShade="0000BF"/>
      <w:kern w:val="2"/>
      <w:sz w:val="32"/>
      <w:szCs w:val="32"/>
    </w:rPr>
  </w:style>
  <w:style w:type="paragraph" w:styleId="a3">
    <w:name w:val="List Paragraph"/>
    <w:basedOn w:val="a"/>
    <w:uiPriority w:val="34"/>
    <w:qFormat w:val="1"/>
    <w:rsid w:val="00C46228"/>
    <w:pPr>
      <w:ind w:left="720"/>
      <w:contextualSpacing w:val="1"/>
    </w:pPr>
  </w:style>
  <w:style w:type="character" w:styleId="a4">
    <w:name w:val="Hyperlink"/>
    <w:basedOn w:val="a0"/>
    <w:uiPriority w:val="99"/>
    <w:unhideWhenUsed w:val="1"/>
    <w:rsid w:val="00C46228"/>
    <w:rPr>
      <w:color w:val="0563c1" w:themeColor="hyperlink"/>
      <w:u w:val="single"/>
    </w:rPr>
  </w:style>
  <w:style w:type="paragraph" w:styleId="a5">
    <w:name w:val="Body Text"/>
    <w:basedOn w:val="a"/>
    <w:link w:val="a6"/>
    <w:uiPriority w:val="1"/>
    <w:qFormat w:val="1"/>
    <w:rsid w:val="00C46228"/>
    <w:pPr>
      <w:widowControl w:val="0"/>
      <w:spacing w:after="0" w:line="240" w:lineRule="auto"/>
      <w:ind w:left="113"/>
    </w:pPr>
    <w:rPr>
      <w:rFonts w:ascii="Times New Roman" w:eastAsia="Times New Roman" w:hAnsi="Times New Roman"/>
      <w:kern w:val="0"/>
      <w:sz w:val="24"/>
      <w:szCs w:val="24"/>
      <w:lang w:val="en-US"/>
    </w:rPr>
  </w:style>
  <w:style w:type="character" w:styleId="a6" w:customStyle="1">
    <w:name w:val="Основний текст Знак"/>
    <w:basedOn w:val="a0"/>
    <w:link w:val="a5"/>
    <w:uiPriority w:val="1"/>
    <w:rsid w:val="00C46228"/>
    <w:rPr>
      <w:rFonts w:ascii="Times New Roman" w:eastAsia="Times New Roman" w:hAnsi="Times New Roman"/>
      <w:sz w:val="24"/>
      <w:szCs w:val="24"/>
      <w:lang w:val="en-US"/>
    </w:rPr>
  </w:style>
  <w:style w:type="character" w:styleId="11" w:customStyle="1">
    <w:name w:val="Заголовок 1 Знак1"/>
    <w:basedOn w:val="a0"/>
    <w:link w:val="1"/>
    <w:uiPriority w:val="1"/>
    <w:rsid w:val="00C46228"/>
    <w:rPr>
      <w:rFonts w:asciiTheme="majorHAnsi" w:cstheme="majorBidi" w:eastAsiaTheme="majorEastAsia" w:hAnsiTheme="majorHAnsi"/>
      <w:color w:val="2f5496" w:themeColor="accent1" w:themeShade="0000BF"/>
      <w:kern w:val="2"/>
      <w:sz w:val="32"/>
      <w:szCs w:val="32"/>
    </w:rPr>
  </w:style>
  <w:style w:type="paragraph" w:styleId="21" w:customStyle="1">
    <w:name w:val="Заголовок 21"/>
    <w:basedOn w:val="a"/>
    <w:next w:val="a"/>
    <w:rsid w:val="00C46228"/>
    <w:pPr>
      <w:keepNext w:val="1"/>
      <w:spacing w:after="0" w:line="240" w:lineRule="auto"/>
      <w:jc w:val="center"/>
      <w:outlineLvl w:val="1"/>
    </w:pPr>
    <w:rPr>
      <w:rFonts w:ascii="Times New Roman" w:cs="Times New Roman" w:eastAsia="Times New Roman" w:hAnsi="Times New Roman"/>
      <w:b w:val="1"/>
      <w:kern w:val="0"/>
      <w:sz w:val="24"/>
      <w:szCs w:val="24"/>
      <w:lang w:eastAsia="ru-UA"/>
    </w:rPr>
  </w:style>
  <w:style w:type="paragraph" w:styleId="12" w:customStyle="1">
    <w:name w:val="Основной текст1"/>
    <w:basedOn w:val="a"/>
    <w:rsid w:val="00C46228"/>
    <w:pPr>
      <w:widowControl w:val="0"/>
      <w:spacing w:after="100" w:afterAutospacing="1" w:before="100" w:beforeAutospacing="1" w:line="240" w:lineRule="auto"/>
    </w:pPr>
    <w:rPr>
      <w:rFonts w:ascii="Calibri" w:cs="Times New Roman" w:eastAsia="Times New Roman" w:hAnsi="Calibri"/>
      <w:kern w:val="0"/>
      <w:sz w:val="24"/>
      <w:szCs w:val="24"/>
      <w:lang w:eastAsia="ru-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urb.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4mjbmfdbgpitukrU+/8rikO9gg==">CgMxLjAyDmgubzdhYjV4dWF6bWZqMghoLnR5amN3dDIOaC5oZzk5bzhrcWJ0OXo4AHIhMWpmYTUtQ05MLTZSWVh1OEZaMXprUU9TUTBaNHNvNmtK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2023-10-17T07:22:00Z</dcterms:created>
  <dc:creator>urb_pc</dc:creator>
</cp:coreProperties>
</file>